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</w:p>
    <w:p>
      <w:pPr>
        <w:spacing w:after="217" w:afterLines="5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2022年科研重点方向建议</w:t>
      </w:r>
    </w:p>
    <w:tbl>
      <w:tblPr>
        <w:tblStyle w:val="4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10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eastAsia="黑体"/>
                <w:sz w:val="28"/>
                <w:szCs w:val="28"/>
              </w:rPr>
              <w:t>领域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eastAsia="黑体"/>
                <w:sz w:val="28"/>
                <w:szCs w:val="28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CR450</w:t>
            </w:r>
            <w:r>
              <w:rPr>
                <w:rFonts w:hint="eastAsia" w:ascii="Times New Roman" w:eastAsia="仿宋_GB2312"/>
                <w:sz w:val="28"/>
                <w:szCs w:val="28"/>
              </w:rPr>
              <w:t>科技创新工程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CR450动车组技术标准体系、技术条件及关键技术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CR450动车组监测、控制、服务等智能化技术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CR450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动车组轮对驱动系统匹配技术研究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CR450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动车组能量链管理技术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新一代动车组旅客服务界面方案研究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CR450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动车组技术先期试验研究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CR450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动车组检修周期匹配技术研究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CR450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动车组技术</w:t>
            </w:r>
            <w:bookmarkStart w:id="0" w:name="_GoBack"/>
            <w:bookmarkEnd w:id="0"/>
            <w:r>
              <w:rPr>
                <w:rFonts w:hint="eastAsia" w:ascii="Times New Roman" w:eastAsia="仿宋_GB2312"/>
                <w:sz w:val="28"/>
                <w:szCs w:val="28"/>
              </w:rPr>
              <w:t>经济性研究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时速400公里高速运行边界特性及载荷特征研究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时速400公里高速铁路系统匹配技术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智能铁路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智能建造关键技术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智能铁路供电相关技术</w:t>
            </w:r>
          </w:p>
          <w:p>
            <w:pPr>
              <w:numPr>
                <w:ilvl w:val="1"/>
                <w:numId w:val="2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双源动力集中动车组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自动驾驶技术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智能高铁2.0关键技术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列车运行图智能编制与“一日一图”质量优化提升技术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智能综合调度系统及调度指挥优化关键技术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铁路货运场站智能化改造与运营关键技术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铁路北斗应用体系深化与服务能力提升技术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5G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应用技术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2"/>
              </w:numPr>
              <w:spacing w:line="440" w:lineRule="exact"/>
              <w:ind w:left="527" w:hanging="36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5G车地无线传输加密技术</w:t>
            </w:r>
          </w:p>
          <w:p>
            <w:pPr>
              <w:numPr>
                <w:ilvl w:val="1"/>
                <w:numId w:val="2"/>
              </w:numPr>
              <w:spacing w:line="440" w:lineRule="exact"/>
              <w:ind w:left="527" w:hanging="36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5G-R系统安全管控技术</w:t>
            </w:r>
          </w:p>
          <w:p>
            <w:pPr>
              <w:numPr>
                <w:ilvl w:val="1"/>
                <w:numId w:val="2"/>
              </w:numPr>
              <w:spacing w:line="440" w:lineRule="exact"/>
              <w:ind w:left="527" w:hanging="36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5G-R网络运维关键技术</w:t>
            </w:r>
          </w:p>
          <w:p>
            <w:pPr>
              <w:numPr>
                <w:ilvl w:val="1"/>
                <w:numId w:val="2"/>
              </w:numPr>
              <w:spacing w:line="440" w:lineRule="exact"/>
              <w:ind w:left="527" w:hanging="36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5G-R系统设备及承载网互联互通关键技术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网络安全和信息化技术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4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铁路数字化绿色化协同转型发展相关研究</w:t>
            </w:r>
          </w:p>
          <w:p>
            <w:pPr>
              <w:numPr>
                <w:ilvl w:val="1"/>
                <w:numId w:val="4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铁路数据资源价值深度挖掘关键技术</w:t>
            </w:r>
          </w:p>
          <w:p>
            <w:pPr>
              <w:numPr>
                <w:ilvl w:val="1"/>
                <w:numId w:val="4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铁路信息系统全生命周期质量、风险管控、网络安全相关研究</w:t>
            </w:r>
          </w:p>
          <w:p>
            <w:pPr>
              <w:numPr>
                <w:ilvl w:val="1"/>
                <w:numId w:val="5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铁路业务与IT领域前沿技术深度融合及创新应用研究</w:t>
            </w:r>
          </w:p>
          <w:p>
            <w:pPr>
              <w:numPr>
                <w:ilvl w:val="1"/>
                <w:numId w:val="5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铁路关键信息基础设施保护、动车组车地网络信息安全关键技术</w:t>
            </w:r>
          </w:p>
          <w:p>
            <w:pPr>
              <w:numPr>
                <w:ilvl w:val="1"/>
                <w:numId w:val="5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网络数据安全防护关键技术</w:t>
            </w:r>
          </w:p>
          <w:p>
            <w:pPr>
              <w:numPr>
                <w:ilvl w:val="1"/>
                <w:numId w:val="5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面向铁路运营环境的网络攻击和防御关键技术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安全保障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动车组服役中后期安全评估、典型运用问题研究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机车车辆关键部件健康管理技术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机车车辆高压系统绝缘匹配、系统试验、综合监测技术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无人值守移动发电装备服役安全技术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重载组合列车安全监测预警技术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线桥隧设施安全运维关键技术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通信信号设备安全运维关键技术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牵引供电安全运维关键技术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铁路气象灾害防范关键技术</w:t>
            </w:r>
          </w:p>
          <w:p>
            <w:pPr>
              <w:numPr>
                <w:ilvl w:val="1"/>
                <w:numId w:val="6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高铁外部环境安全保障关键技术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运输经营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调度管理与站段生产一体化关键技术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集装箱（多式联运、“一带一路”、双层集装箱）运输组织及装备关键技术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铁路现代物流（快运、冷链）运输组织及配套装备技术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基于95306网的货运便捷服务体系优化及生产流程再造关键技术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铁路客运多层次服务体系构建与出行服务优化关键技术</w:t>
            </w:r>
          </w:p>
          <w:p>
            <w:pPr>
              <w:numPr>
                <w:ilvl w:val="1"/>
                <w:numId w:val="3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车流径路与编组计划优化技术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关键装备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多源制和新能源机车关键技术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新一代机车车辆关键技术及顶层指标研究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轴箱轴承设计试验技术研究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电力机车过分相动力保持技术研究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提升内燃机车及柴油机排放水平相关技术及对策研究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困难地段作业机械与大型养路机械智能化关键技术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工程建造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复杂地质勘察新技术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复杂地质路基建造关键技术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深水大跨、特殊复杂结构桥梁建造关键技术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超长水下隧道、山岭隧道建造关键技术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综合枢纽客站建造关键技术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绿色低碳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“双碳”目标下铁路节能减排应用技术深化研究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铁路噪声控制、废水处理、固废处置等技术深化研究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铁路常态化疫情防控方案及关键技术优化研究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铁路关键岗位职工作业能力提升技术研究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基础前瞻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动车组轮轨关系、弓网关系、空气动力学、振动噪声、新材料及仿生应用等相关基础理论和前瞻技术</w:t>
            </w:r>
          </w:p>
          <w:p>
            <w:pPr>
              <w:numPr>
                <w:ilvl w:val="1"/>
                <w:numId w:val="1"/>
              </w:numPr>
              <w:spacing w:line="440" w:lineRule="exact"/>
              <w:ind w:left="526" w:leftChars="50" w:hanging="366" w:hangingChars="131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关键部件寿命加速试验研究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面向未来的铁路信号系统架构基础理论和技术</w:t>
            </w:r>
          </w:p>
          <w:p>
            <w:pPr>
              <w:numPr>
                <w:ilvl w:val="1"/>
                <w:numId w:val="7"/>
              </w:numPr>
              <w:spacing w:line="440" w:lineRule="exact"/>
              <w:ind w:left="526" w:leftChars="50" w:hanging="366" w:hangingChars="13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川藏线机车车辆边界条件适应性研究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629F"/>
    <w:multiLevelType w:val="multilevel"/>
    <w:tmpl w:val="511C62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F1DB6"/>
    <w:rsid w:val="43EB7CDE"/>
    <w:rsid w:val="476F1DB6"/>
    <w:rsid w:val="4F8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工作记录文字"/>
    <w:basedOn w:val="2"/>
    <w:uiPriority w:val="0"/>
    <w:pPr>
      <w:spacing w:line="360" w:lineRule="auto"/>
      <w:jc w:val="left"/>
      <w:outlineLvl w:val="9"/>
    </w:pPr>
    <w:rPr>
      <w:rFonts w:hAnsi="宋体" w:eastAsia="仿宋_GB2312" w:cs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2022-01-13T00:33:00Z</dcterms:created>
  <dc:creator>NTKO</dc:creator>
  <cp:lastModifiedBy>李博</cp:lastModifiedBy>
  <dcterms:modified xsi:type="dcterms:W3CDTF">2022-01-13T02:26:54Z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